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A048DD" w14:textId="77777777" w:rsidR="006A32BB" w:rsidRPr="00F024CC" w:rsidRDefault="006A32BB" w:rsidP="006A32BB">
      <w:pPr>
        <w:widowControl w:val="0"/>
        <w:autoSpaceDE w:val="0"/>
        <w:autoSpaceDN w:val="0"/>
        <w:adjustRightInd w:val="0"/>
        <w:jc w:val="center"/>
        <w:rPr>
          <w:rFonts w:ascii="Times New Roman" w:hAnsi="Times New Roman" w:cs="Times New Roman"/>
          <w:b/>
        </w:rPr>
      </w:pPr>
      <w:bookmarkStart w:id="0" w:name="_GoBack"/>
      <w:r w:rsidRPr="00F024CC">
        <w:rPr>
          <w:rFonts w:ascii="Times New Roman" w:hAnsi="Times New Roman" w:cs="Times New Roman"/>
          <w:b/>
        </w:rPr>
        <w:t xml:space="preserve">Does the Foreign </w:t>
      </w:r>
      <w:bookmarkEnd w:id="0"/>
      <w:r w:rsidRPr="00F024CC">
        <w:rPr>
          <w:rFonts w:ascii="Times New Roman" w:hAnsi="Times New Roman" w:cs="Times New Roman"/>
          <w:b/>
        </w:rPr>
        <w:t>Corrupt Practices Act Apply to this case?</w:t>
      </w:r>
    </w:p>
    <w:p w14:paraId="7F1844FC" w14:textId="77777777" w:rsidR="006A32BB" w:rsidRPr="00F024CC" w:rsidRDefault="00A94247" w:rsidP="006A32BB">
      <w:pPr>
        <w:widowControl w:val="0"/>
        <w:autoSpaceDE w:val="0"/>
        <w:autoSpaceDN w:val="0"/>
        <w:adjustRightInd w:val="0"/>
        <w:rPr>
          <w:rFonts w:ascii="Times New Roman" w:hAnsi="Times New Roman" w:cs="Times New Roman"/>
        </w:rPr>
      </w:pPr>
      <w:r w:rsidRPr="00F024CC">
        <w:rPr>
          <w:rFonts w:ascii="Times New Roman" w:hAnsi="Times New Roman" w:cs="Times New Roman"/>
        </w:rPr>
        <w:t>Yes.  The FPCA pertains to books and records.</w:t>
      </w:r>
    </w:p>
    <w:p w14:paraId="611B7DBE" w14:textId="77777777" w:rsidR="00A94247" w:rsidRPr="00F024CC" w:rsidRDefault="00A94247" w:rsidP="006A32BB">
      <w:pPr>
        <w:widowControl w:val="0"/>
        <w:autoSpaceDE w:val="0"/>
        <w:autoSpaceDN w:val="0"/>
        <w:adjustRightInd w:val="0"/>
        <w:rPr>
          <w:rFonts w:ascii="Times New Roman" w:hAnsi="Times New Roman" w:cs="Times New Roman"/>
        </w:rPr>
      </w:pPr>
    </w:p>
    <w:p w14:paraId="76B3C826" w14:textId="77777777" w:rsidR="006A32BB" w:rsidRPr="00F024CC" w:rsidRDefault="006A32BB" w:rsidP="006A32BB">
      <w:pPr>
        <w:widowControl w:val="0"/>
        <w:autoSpaceDE w:val="0"/>
        <w:autoSpaceDN w:val="0"/>
        <w:adjustRightInd w:val="0"/>
        <w:rPr>
          <w:rFonts w:ascii="Times New Roman" w:hAnsi="Times New Roman" w:cs="Times New Roman"/>
        </w:rPr>
      </w:pPr>
      <w:r w:rsidRPr="00F024CC">
        <w:rPr>
          <w:rFonts w:ascii="Times New Roman" w:hAnsi="Times New Roman" w:cs="Times New Roman"/>
          <w:b/>
          <w:bCs/>
        </w:rPr>
        <w:t xml:space="preserve">Q. What do the books and records and internal control provisions </w:t>
      </w:r>
      <w:r w:rsidR="00A94247" w:rsidRPr="00F024CC">
        <w:rPr>
          <w:rFonts w:ascii="Times New Roman" w:hAnsi="Times New Roman" w:cs="Times New Roman"/>
          <w:b/>
          <w:bCs/>
        </w:rPr>
        <w:t xml:space="preserve">of the FCPA </w:t>
      </w:r>
      <w:r w:rsidRPr="00F024CC">
        <w:rPr>
          <w:rFonts w:ascii="Times New Roman" w:hAnsi="Times New Roman" w:cs="Times New Roman"/>
          <w:b/>
          <w:bCs/>
        </w:rPr>
        <w:t>prohibit?</w:t>
      </w:r>
    </w:p>
    <w:p w14:paraId="6A1249BF" w14:textId="77777777" w:rsidR="006A32BB" w:rsidRPr="00F024CC" w:rsidRDefault="006A32BB" w:rsidP="006A32BB">
      <w:pPr>
        <w:widowControl w:val="0"/>
        <w:autoSpaceDE w:val="0"/>
        <w:autoSpaceDN w:val="0"/>
        <w:adjustRightInd w:val="0"/>
        <w:rPr>
          <w:rFonts w:ascii="Times New Roman" w:hAnsi="Times New Roman" w:cs="Times New Roman"/>
        </w:rPr>
      </w:pPr>
    </w:p>
    <w:p w14:paraId="5AA40C9C" w14:textId="77777777" w:rsidR="006A32BB" w:rsidRPr="00F024CC" w:rsidRDefault="006A32BB" w:rsidP="006A32BB">
      <w:pPr>
        <w:widowControl w:val="0"/>
        <w:autoSpaceDE w:val="0"/>
        <w:autoSpaceDN w:val="0"/>
        <w:adjustRightInd w:val="0"/>
        <w:rPr>
          <w:rFonts w:ascii="Times New Roman" w:hAnsi="Times New Roman" w:cs="Times New Roman"/>
        </w:rPr>
      </w:pPr>
      <w:r w:rsidRPr="00F024CC">
        <w:rPr>
          <w:rFonts w:ascii="Times New Roman" w:hAnsi="Times New Roman" w:cs="Times New Roman"/>
        </w:rPr>
        <w:t>A</w:t>
      </w:r>
      <w:r w:rsidRPr="00F024CC">
        <w:rPr>
          <w:rFonts w:ascii="Times New Roman" w:hAnsi="Times New Roman" w:cs="Times New Roman"/>
          <w:b/>
          <w:bCs/>
        </w:rPr>
        <w:t xml:space="preserve">. The FCPA is a statute much broader than its name implies.  </w:t>
      </w:r>
      <w:r w:rsidRPr="00F024CC">
        <w:rPr>
          <w:rFonts w:ascii="Times New Roman" w:hAnsi="Times New Roman" w:cs="Times New Roman"/>
        </w:rPr>
        <w:t>The foreign corporate payments discovered in the mid-</w:t>
      </w:r>
      <w:proofErr w:type="gramStart"/>
      <w:r w:rsidRPr="00F024CC">
        <w:rPr>
          <w:rFonts w:ascii="Times New Roman" w:hAnsi="Times New Roman" w:cs="Times New Roman"/>
        </w:rPr>
        <w:t>1970’s</w:t>
      </w:r>
      <w:proofErr w:type="gramEnd"/>
      <w:r w:rsidRPr="00F024CC">
        <w:rPr>
          <w:rFonts w:ascii="Times New Roman" w:hAnsi="Times New Roman" w:cs="Times New Roman"/>
        </w:rPr>
        <w:t xml:space="preserve"> were often recorded in separate books and records or otherwise </w:t>
      </w:r>
      <w:proofErr w:type="spellStart"/>
      <w:r w:rsidRPr="00F024CC">
        <w:rPr>
          <w:rFonts w:ascii="Times New Roman" w:hAnsi="Times New Roman" w:cs="Times New Roman"/>
        </w:rPr>
        <w:t>misrecorded</w:t>
      </w:r>
      <w:proofErr w:type="spellEnd"/>
      <w:r w:rsidRPr="00F024CC">
        <w:rPr>
          <w:rFonts w:ascii="Times New Roman" w:hAnsi="Times New Roman" w:cs="Times New Roman"/>
        </w:rPr>
        <w:t xml:space="preserve">.  Thus, Congress – at the SEC’s urging </w:t>
      </w:r>
      <w:proofErr w:type="gramStart"/>
      <w:r w:rsidRPr="00F024CC">
        <w:rPr>
          <w:rFonts w:ascii="Times New Roman" w:hAnsi="Times New Roman" w:cs="Times New Roman"/>
        </w:rPr>
        <w:t>–  included</w:t>
      </w:r>
      <w:proofErr w:type="gramEnd"/>
      <w:r w:rsidRPr="00F024CC">
        <w:rPr>
          <w:rFonts w:ascii="Times New Roman" w:hAnsi="Times New Roman" w:cs="Times New Roman"/>
        </w:rPr>
        <w:t xml:space="preserve"> books and records and internal control provisions in the FCPA.</w:t>
      </w:r>
    </w:p>
    <w:p w14:paraId="6284AFE9" w14:textId="77777777" w:rsidR="006A32BB" w:rsidRPr="00F024CC" w:rsidRDefault="006A32BB" w:rsidP="006A32BB">
      <w:pPr>
        <w:widowControl w:val="0"/>
        <w:autoSpaceDE w:val="0"/>
        <w:autoSpaceDN w:val="0"/>
        <w:adjustRightInd w:val="0"/>
        <w:rPr>
          <w:rFonts w:ascii="Times New Roman" w:hAnsi="Times New Roman" w:cs="Times New Roman"/>
        </w:rPr>
      </w:pPr>
      <w:r w:rsidRPr="00F024CC">
        <w:rPr>
          <w:rFonts w:ascii="Times New Roman" w:hAnsi="Times New Roman" w:cs="Times New Roman"/>
        </w:rPr>
        <w:t>The books and records provision requires that “issuers” “make and keep books, records, and accounts, which, in reasonable detail, accurately and fairly reflect the transactions and dispositions of the assets of the issuer.”</w:t>
      </w:r>
    </w:p>
    <w:p w14:paraId="175D656C" w14:textId="77777777" w:rsidR="006A32BB" w:rsidRPr="00F024CC" w:rsidRDefault="006A32BB" w:rsidP="00F024CC">
      <w:pPr>
        <w:widowControl w:val="0"/>
        <w:autoSpaceDE w:val="0"/>
        <w:autoSpaceDN w:val="0"/>
        <w:adjustRightInd w:val="0"/>
        <w:jc w:val="center"/>
        <w:rPr>
          <w:rFonts w:ascii="Times New Roman" w:hAnsi="Times New Roman" w:cs="Times New Roman"/>
        </w:rPr>
      </w:pPr>
      <w:r w:rsidRPr="00F024CC">
        <w:rPr>
          <w:rFonts w:ascii="Times New Roman" w:hAnsi="Times New Roman" w:cs="Times New Roman"/>
        </w:rPr>
        <w:t>…</w:t>
      </w:r>
      <w:r w:rsidR="00E577AD">
        <w:rPr>
          <w:rFonts w:ascii="Times New Roman" w:hAnsi="Times New Roman" w:cs="Times New Roman"/>
        </w:rPr>
        <w:t>.</w:t>
      </w:r>
    </w:p>
    <w:p w14:paraId="7508A9A9" w14:textId="77777777" w:rsidR="006A32BB" w:rsidRPr="00F024CC" w:rsidRDefault="006A32BB" w:rsidP="006A32BB">
      <w:pPr>
        <w:rPr>
          <w:rFonts w:ascii="Times New Roman" w:hAnsi="Times New Roman" w:cs="Times New Roman"/>
        </w:rPr>
      </w:pPr>
      <w:r w:rsidRPr="00F024CC">
        <w:rPr>
          <w:rFonts w:ascii="Times New Roman" w:hAnsi="Times New Roman" w:cs="Times New Roman"/>
        </w:rPr>
        <w:t xml:space="preserve">As evident from the above description, </w:t>
      </w:r>
      <w:r w:rsidRPr="00F024CC">
        <w:rPr>
          <w:rFonts w:ascii="Times New Roman" w:hAnsi="Times New Roman" w:cs="Times New Roman"/>
          <w:b/>
          <w:bCs/>
        </w:rPr>
        <w:t xml:space="preserve">the FCPA’s books and records and internal control provisions are generic and can be implicated in purely domestic scenarios that have nothing to do with payments to “foreign officials” to “obtain or retain business.”  </w:t>
      </w:r>
      <w:r w:rsidRPr="00F024CC">
        <w:rPr>
          <w:rFonts w:ascii="Times New Roman" w:hAnsi="Times New Roman" w:cs="Times New Roman"/>
        </w:rPr>
        <w:t>(</w:t>
      </w:r>
      <w:hyperlink r:id="rId5" w:history="1">
        <w:r w:rsidRPr="00F024CC">
          <w:rPr>
            <w:rFonts w:ascii="Times New Roman" w:hAnsi="Times New Roman" w:cs="Times New Roman"/>
            <w:b/>
            <w:bCs/>
            <w:color w:val="386EFF"/>
            <w:u w:val="single" w:color="386EFF"/>
          </w:rPr>
          <w:t>See here</w:t>
        </w:r>
      </w:hyperlink>
      <w:proofErr w:type="gramStart"/>
      <w:r w:rsidRPr="00F024CC">
        <w:rPr>
          <w:rFonts w:ascii="Times New Roman" w:hAnsi="Times New Roman" w:cs="Times New Roman"/>
          <w:b/>
          <w:bCs/>
        </w:rPr>
        <w:t>  </w:t>
      </w:r>
      <w:proofErr w:type="gramEnd"/>
      <w:hyperlink r:id="rId6" w:history="1">
        <w:r w:rsidRPr="00F024CC">
          <w:rPr>
            <w:rFonts w:ascii="Times New Roman" w:hAnsi="Times New Roman" w:cs="Times New Roman"/>
            <w:b/>
            <w:bCs/>
            <w:color w:val="386EFF"/>
            <w:u w:val="single" w:color="386EFF"/>
          </w:rPr>
          <w:t>http://www.sec.gov/litigation/litreleases/2011/lr21962.htm</w:t>
        </w:r>
      </w:hyperlink>
      <w:r w:rsidRPr="00F024CC">
        <w:rPr>
          <w:rFonts w:ascii="Times New Roman" w:hAnsi="Times New Roman" w:cs="Times New Roman"/>
          <w:b/>
          <w:bCs/>
        </w:rPr>
        <w:t>  for an example of what I call non-FCPA, FCPA enforcement actions</w:t>
      </w:r>
      <w:r w:rsidRPr="00F024CC">
        <w:rPr>
          <w:rFonts w:ascii="Times New Roman" w:hAnsi="Times New Roman" w:cs="Times New Roman"/>
        </w:rPr>
        <w:t xml:space="preserve">). Because payments to a “foreign official” to “obtain or retain business” are frequently concealed or otherwise </w:t>
      </w:r>
      <w:proofErr w:type="spellStart"/>
      <w:r w:rsidRPr="00F024CC">
        <w:rPr>
          <w:rFonts w:ascii="Times New Roman" w:hAnsi="Times New Roman" w:cs="Times New Roman"/>
        </w:rPr>
        <w:t>misrecorded</w:t>
      </w:r>
      <w:proofErr w:type="spellEnd"/>
      <w:r w:rsidRPr="00F024CC">
        <w:rPr>
          <w:rFonts w:ascii="Times New Roman" w:hAnsi="Times New Roman" w:cs="Times New Roman"/>
        </w:rPr>
        <w:t xml:space="preserve"> on a company’s books and records (such as “miscellaneous expenses,” “cost of good sold” etc.), the books and records provision can also be implicated in a typical FCPA scenario.</w:t>
      </w:r>
    </w:p>
    <w:p w14:paraId="6861B8E5" w14:textId="77777777" w:rsidR="006A32BB" w:rsidRPr="00F024CC" w:rsidRDefault="006A32BB" w:rsidP="006A32BB">
      <w:pPr>
        <w:widowControl w:val="0"/>
        <w:autoSpaceDE w:val="0"/>
        <w:autoSpaceDN w:val="0"/>
        <w:adjustRightInd w:val="0"/>
        <w:rPr>
          <w:rFonts w:ascii="Times New Roman" w:hAnsi="Times New Roman" w:cs="Times New Roman"/>
        </w:rPr>
      </w:pPr>
      <w:hyperlink r:id="rId7" w:history="1">
        <w:r w:rsidRPr="00F024CC">
          <w:rPr>
            <w:rFonts w:ascii="Times New Roman" w:hAnsi="Times New Roman" w:cs="Times New Roman"/>
            <w:color w:val="386EFF"/>
            <w:u w:val="single" w:color="386EFF"/>
          </w:rPr>
          <w:t>http://www.fcpaprofessor.com/fcpa-101#q11</w:t>
        </w:r>
      </w:hyperlink>
    </w:p>
    <w:p w14:paraId="07FF16D1" w14:textId="77777777" w:rsidR="006A32BB" w:rsidRPr="00F024CC" w:rsidRDefault="006A32BB" w:rsidP="006A32BB">
      <w:pPr>
        <w:rPr>
          <w:rFonts w:ascii="Times New Roman" w:hAnsi="Times New Roman" w:cs="Times New Roman"/>
        </w:rPr>
      </w:pPr>
    </w:p>
    <w:p w14:paraId="601AF96F" w14:textId="77777777" w:rsidR="00A94247" w:rsidRPr="00F024CC" w:rsidRDefault="00F024CC" w:rsidP="00A94247">
      <w:pPr>
        <w:rPr>
          <w:rFonts w:ascii="Times New Roman" w:eastAsia="Times New Roman" w:hAnsi="Times New Roman" w:cs="Times New Roman"/>
          <w:b/>
        </w:rPr>
      </w:pPr>
      <w:r w:rsidRPr="00F024CC">
        <w:rPr>
          <w:rFonts w:ascii="Times New Roman" w:eastAsia="Times New Roman" w:hAnsi="Times New Roman" w:cs="Times New Roman"/>
          <w:b/>
        </w:rPr>
        <w:t>Q. What is required under the FCPA in terms of bookkeeping?</w:t>
      </w:r>
    </w:p>
    <w:p w14:paraId="05E0094B" w14:textId="77777777" w:rsidR="00F024CC" w:rsidRPr="00F024CC" w:rsidRDefault="00F024CC" w:rsidP="00A94247">
      <w:pPr>
        <w:rPr>
          <w:rFonts w:ascii="Times New Roman" w:eastAsia="Times New Roman" w:hAnsi="Times New Roman" w:cs="Times New Roman"/>
        </w:rPr>
      </w:pPr>
    </w:p>
    <w:p w14:paraId="7ED14049" w14:textId="77777777" w:rsidR="00A94247" w:rsidRPr="00F024CC" w:rsidRDefault="00A94247" w:rsidP="00F024CC">
      <w:pPr>
        <w:ind w:left="720" w:right="720"/>
        <w:rPr>
          <w:rFonts w:ascii="Times New Roman" w:eastAsia="Times New Roman" w:hAnsi="Times New Roman" w:cs="Times New Roman"/>
        </w:rPr>
      </w:pPr>
      <w:r w:rsidRPr="00F024CC">
        <w:rPr>
          <w:rFonts w:ascii="Times New Roman" w:eastAsia="Times New Roman" w:hAnsi="Times New Roman" w:cs="Times New Roman"/>
        </w:rPr>
        <w:t>Section 13(b)(2) contains two separate requirements for issuers in complying with the FCPA's accounting provisions: (1) a company must keep accurate books and records reflecting the transactions and dispositions of the assets of the issuer, and (2) a company must maintain a reliable and adequate system of internal accounting controls. In applying these two separate requirements to the instant case, the court will examine the requirements of each provision and the problems inherent in their interpretation.</w:t>
      </w:r>
    </w:p>
    <w:p w14:paraId="3C9C19A5" w14:textId="77777777" w:rsidR="00A94247" w:rsidRPr="00F024CC" w:rsidRDefault="00A94247" w:rsidP="00F024CC">
      <w:pPr>
        <w:ind w:left="720" w:right="720"/>
        <w:rPr>
          <w:rFonts w:ascii="Times New Roman" w:eastAsia="Times New Roman" w:hAnsi="Times New Roman" w:cs="Times New Roman"/>
        </w:rPr>
      </w:pPr>
      <w:r w:rsidRPr="00F024CC">
        <w:rPr>
          <w:rFonts w:ascii="Times New Roman" w:eastAsia="Times New Roman" w:hAnsi="Times New Roman" w:cs="Times New Roman"/>
        </w:rPr>
        <w:t>The “books and records” provision, contained in section 13(b)(2)(A) of the FCPA has three basic objectives: (1) books and records should reflect transactions in conformity with accepted methods of reporting economic events, (2) misrepresentation, concealment, falsification, circumvention, and other deliberate acts resulting in inaccurate financial books and records are unlawful, and (3) transactions should be properly reflected on books and records in such a manner as to permit the preparation of financial statements in conformity with GAAP and other criteria applicable to such statements.</w:t>
      </w:r>
      <w:r w:rsidRPr="00F024CC">
        <w:rPr>
          <w:rFonts w:ascii="Times New Roman" w:eastAsia="Times New Roman" w:hAnsi="Times New Roman" w:cs="Times New Roman"/>
          <w:vertAlign w:val="superscript"/>
        </w:rPr>
        <w:t>42</w:t>
      </w:r>
    </w:p>
    <w:p w14:paraId="4B90A2C9" w14:textId="77777777" w:rsidR="00A94247" w:rsidRPr="00F024CC" w:rsidRDefault="00A94247" w:rsidP="006A32BB">
      <w:pPr>
        <w:rPr>
          <w:rFonts w:ascii="Times New Roman" w:eastAsia="Times New Roman" w:hAnsi="Times New Roman" w:cs="Times New Roman"/>
        </w:rPr>
      </w:pPr>
      <w:r w:rsidRPr="00F024CC">
        <w:rPr>
          <w:rFonts w:ascii="Times New Roman" w:eastAsia="Times New Roman" w:hAnsi="Times New Roman" w:cs="Times New Roman"/>
          <w:u w:val="single"/>
        </w:rPr>
        <w:t>S.E.C. v. World-Wide Coin Investments, Ltd.</w:t>
      </w:r>
      <w:r w:rsidRPr="00F024CC">
        <w:rPr>
          <w:rFonts w:ascii="Times New Roman" w:eastAsia="Times New Roman" w:hAnsi="Times New Roman" w:cs="Times New Roman"/>
        </w:rPr>
        <w:t>, 567 F. Supp. 724, 748 (N.D. Ga. 1983)</w:t>
      </w:r>
    </w:p>
    <w:sectPr w:rsidR="00A94247" w:rsidRPr="00F024CC" w:rsidSect="007857B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32BB"/>
    <w:rsid w:val="00173534"/>
    <w:rsid w:val="006A32BB"/>
    <w:rsid w:val="007857BA"/>
    <w:rsid w:val="00A94247"/>
    <w:rsid w:val="00E577AD"/>
    <w:rsid w:val="00F024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63BA2A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7683137">
      <w:bodyDiv w:val="1"/>
      <w:marLeft w:val="0"/>
      <w:marRight w:val="0"/>
      <w:marTop w:val="0"/>
      <w:marBottom w:val="0"/>
      <w:divBdr>
        <w:top w:val="none" w:sz="0" w:space="0" w:color="auto"/>
        <w:left w:val="none" w:sz="0" w:space="0" w:color="auto"/>
        <w:bottom w:val="none" w:sz="0" w:space="0" w:color="auto"/>
        <w:right w:val="none" w:sz="0" w:space="0" w:color="auto"/>
      </w:divBdr>
      <w:divsChild>
        <w:div w:id="588537838">
          <w:marLeft w:val="0"/>
          <w:marRight w:val="0"/>
          <w:marTop w:val="0"/>
          <w:marBottom w:val="0"/>
          <w:divBdr>
            <w:top w:val="none" w:sz="0" w:space="0" w:color="auto"/>
            <w:left w:val="none" w:sz="0" w:space="0" w:color="auto"/>
            <w:bottom w:val="none" w:sz="0" w:space="0" w:color="auto"/>
            <w:right w:val="none" w:sz="0" w:space="0" w:color="auto"/>
          </w:divBdr>
          <w:divsChild>
            <w:div w:id="1481188482">
              <w:marLeft w:val="0"/>
              <w:marRight w:val="0"/>
              <w:marTop w:val="0"/>
              <w:marBottom w:val="0"/>
              <w:divBdr>
                <w:top w:val="none" w:sz="0" w:space="0" w:color="auto"/>
                <w:left w:val="none" w:sz="0" w:space="0" w:color="auto"/>
                <w:bottom w:val="none" w:sz="0" w:space="0" w:color="auto"/>
                <w:right w:val="none" w:sz="0" w:space="0" w:color="auto"/>
              </w:divBdr>
              <w:divsChild>
                <w:div w:id="1788964250">
                  <w:marLeft w:val="0"/>
                  <w:marRight w:val="0"/>
                  <w:marTop w:val="0"/>
                  <w:marBottom w:val="0"/>
                  <w:divBdr>
                    <w:top w:val="none" w:sz="0" w:space="0" w:color="auto"/>
                    <w:left w:val="none" w:sz="0" w:space="0" w:color="auto"/>
                    <w:bottom w:val="none" w:sz="0" w:space="0" w:color="auto"/>
                    <w:right w:val="none" w:sz="0" w:space="0" w:color="auto"/>
                  </w:divBdr>
                </w:div>
              </w:divsChild>
            </w:div>
            <w:div w:id="1484664431">
              <w:marLeft w:val="0"/>
              <w:marRight w:val="0"/>
              <w:marTop w:val="0"/>
              <w:marBottom w:val="0"/>
              <w:divBdr>
                <w:top w:val="none" w:sz="0" w:space="0" w:color="auto"/>
                <w:left w:val="none" w:sz="0" w:space="0" w:color="auto"/>
                <w:bottom w:val="none" w:sz="0" w:space="0" w:color="auto"/>
                <w:right w:val="none" w:sz="0" w:space="0" w:color="auto"/>
              </w:divBdr>
              <w:divsChild>
                <w:div w:id="375131960">
                  <w:marLeft w:val="0"/>
                  <w:marRight w:val="0"/>
                  <w:marTop w:val="0"/>
                  <w:marBottom w:val="0"/>
                  <w:divBdr>
                    <w:top w:val="none" w:sz="0" w:space="0" w:color="auto"/>
                    <w:left w:val="none" w:sz="0" w:space="0" w:color="auto"/>
                    <w:bottom w:val="none" w:sz="0" w:space="0" w:color="auto"/>
                    <w:right w:val="none" w:sz="0" w:space="0" w:color="auto"/>
                  </w:divBdr>
                </w:div>
              </w:divsChild>
            </w:div>
            <w:div w:id="175604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sec.gov/litigation/litreleases/2011/lr21962.htm" TargetMode="External"/><Relationship Id="rId6" Type="http://schemas.openxmlformats.org/officeDocument/2006/relationships/hyperlink" Target="http://www.sec.gov/litigation/litreleases/2011/lr21962.htm" TargetMode="External"/><Relationship Id="rId7" Type="http://schemas.openxmlformats.org/officeDocument/2006/relationships/hyperlink" Target="http://www.fcpaprofessor.com/fcpa-101#q11"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437</Words>
  <Characters>2492</Characters>
  <Application>Microsoft Macintosh Word</Application>
  <DocSecurity>0</DocSecurity>
  <Lines>20</Lines>
  <Paragraphs>5</Paragraphs>
  <ScaleCrop>false</ScaleCrop>
  <Company>Sheridan Law Firm, P.S.</Company>
  <LinksUpToDate>false</LinksUpToDate>
  <CharactersWithSpaces>2924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Sheridan</dc:creator>
  <cp:keywords/>
  <dc:description/>
  <cp:lastModifiedBy>Jack Sheridan</cp:lastModifiedBy>
  <cp:revision>2</cp:revision>
  <dcterms:created xsi:type="dcterms:W3CDTF">2015-02-26T03:01:00Z</dcterms:created>
  <dcterms:modified xsi:type="dcterms:W3CDTF">2015-02-26T03:15:00Z</dcterms:modified>
</cp:coreProperties>
</file>